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22981">
      <w:pPr>
        <w:spacing w:line="360" w:lineRule="auto"/>
        <w:rPr>
          <w:rFonts w:hint="eastAsia" w:asciiTheme="minorEastAsia" w:hAnsiTheme="minorEastAsia" w:eastAsiaTheme="minorEastAsia" w:cstheme="minorEastAsia"/>
          <w:b/>
          <w:bCs/>
          <w:sz w:val="24"/>
          <w:szCs w:val="32"/>
          <w:lang w:val="en-US" w:eastAsia="zh-CN"/>
        </w:rPr>
      </w:pPr>
      <w:bookmarkStart w:id="0" w:name="_GoBack"/>
      <w:r>
        <w:rPr>
          <w:rFonts w:hint="eastAsia" w:asciiTheme="minorEastAsia" w:hAnsiTheme="minorEastAsia" w:eastAsiaTheme="minorEastAsia" w:cstheme="minorEastAsia"/>
          <w:b/>
          <w:bCs/>
          <w:sz w:val="24"/>
          <w:szCs w:val="32"/>
          <w:lang w:eastAsia="zh-CN"/>
        </w:rPr>
        <w:t>附件</w:t>
      </w:r>
      <w:r>
        <w:rPr>
          <w:rFonts w:hint="eastAsia" w:asciiTheme="minorEastAsia" w:hAnsiTheme="minorEastAsia" w:cstheme="minorEastAsia"/>
          <w:b/>
          <w:bCs/>
          <w:sz w:val="24"/>
          <w:szCs w:val="32"/>
          <w:lang w:val="en-US" w:eastAsia="zh-CN"/>
        </w:rPr>
        <w:t>5</w:t>
      </w:r>
      <w:r>
        <w:rPr>
          <w:rFonts w:hint="eastAsia" w:asciiTheme="minorEastAsia" w:hAnsiTheme="minorEastAsia" w:eastAsiaTheme="minorEastAsia" w:cstheme="minorEastAsia"/>
          <w:b/>
          <w:bCs/>
          <w:sz w:val="24"/>
          <w:szCs w:val="32"/>
          <w:lang w:val="en-US" w:eastAsia="zh-CN"/>
        </w:rPr>
        <w:t>：</w:t>
      </w:r>
    </w:p>
    <w:p w14:paraId="44DB5114">
      <w:pPr>
        <w:spacing w:line="360" w:lineRule="auto"/>
        <w:jc w:val="center"/>
        <w:rPr>
          <w:rFonts w:hint="default" w:ascii="宋体" w:hAnsi="宋体" w:eastAsia="宋体" w:cs="Times New Roman"/>
          <w:color w:val="auto"/>
          <w:sz w:val="32"/>
          <w:szCs w:val="32"/>
          <w:highlight w:val="none"/>
          <w:lang w:val="en-US" w:eastAsia="zh-CN"/>
        </w:rPr>
      </w:pPr>
      <w:r>
        <w:rPr>
          <w:rFonts w:hint="eastAsia" w:ascii="宋体" w:hAnsi="宋体"/>
          <w:b/>
          <w:color w:val="auto"/>
          <w:sz w:val="32"/>
          <w:szCs w:val="32"/>
          <w:highlight w:val="none"/>
          <w:lang w:val="en-US" w:eastAsia="zh-CN"/>
        </w:rPr>
        <w:t>技术标准及相关要求响应表</w:t>
      </w:r>
    </w:p>
    <w:bookmarkEnd w:id="0"/>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1118"/>
        <w:gridCol w:w="3763"/>
        <w:gridCol w:w="1229"/>
        <w:gridCol w:w="1867"/>
      </w:tblGrid>
      <w:tr w14:paraId="5B1C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18" w:type="pct"/>
            <w:vAlign w:val="center"/>
          </w:tcPr>
          <w:p w14:paraId="0B596037">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656" w:type="pct"/>
            <w:vAlign w:val="center"/>
          </w:tcPr>
          <w:p w14:paraId="2686DE05">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项目</w:t>
            </w:r>
          </w:p>
        </w:tc>
        <w:tc>
          <w:tcPr>
            <w:tcW w:w="2208" w:type="pct"/>
            <w:vAlign w:val="center"/>
          </w:tcPr>
          <w:p w14:paraId="52CFAC46">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要求</w:t>
            </w:r>
          </w:p>
        </w:tc>
        <w:tc>
          <w:tcPr>
            <w:tcW w:w="721" w:type="pct"/>
            <w:vAlign w:val="center"/>
          </w:tcPr>
          <w:p w14:paraId="541FFF7A">
            <w:pPr>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是否偏离</w:t>
            </w:r>
          </w:p>
        </w:tc>
        <w:tc>
          <w:tcPr>
            <w:tcW w:w="1095" w:type="pct"/>
            <w:vAlign w:val="center"/>
          </w:tcPr>
          <w:p w14:paraId="35FEF284">
            <w:pPr>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r>
      <w:tr w14:paraId="08F7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14:paraId="733D324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56" w:type="pct"/>
            <w:vAlign w:val="center"/>
          </w:tcPr>
          <w:p w14:paraId="333323B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材质要求</w:t>
            </w:r>
          </w:p>
        </w:tc>
        <w:tc>
          <w:tcPr>
            <w:tcW w:w="2208" w:type="pct"/>
            <w:vAlign w:val="center"/>
          </w:tcPr>
          <w:p w14:paraId="22729C9C">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sz w:val="21"/>
                <w:szCs w:val="21"/>
                <w:lang w:val="en-US" w:eastAsia="zh-CN"/>
              </w:rPr>
              <w:t>高密度聚乙烯PE材料，确保无毒无害，符合国家环保标准</w:t>
            </w:r>
          </w:p>
        </w:tc>
        <w:tc>
          <w:tcPr>
            <w:tcW w:w="721" w:type="pct"/>
            <w:vAlign w:val="center"/>
          </w:tcPr>
          <w:p w14:paraId="6EA22FB3">
            <w:pPr>
              <w:jc w:val="both"/>
              <w:rPr>
                <w:rFonts w:hint="eastAsia" w:ascii="宋体" w:hAnsi="宋体" w:eastAsia="宋体" w:cs="宋体"/>
                <w:sz w:val="21"/>
                <w:szCs w:val="21"/>
                <w:vertAlign w:val="baseline"/>
                <w:lang w:val="en-US" w:eastAsia="zh-CN"/>
              </w:rPr>
            </w:pPr>
          </w:p>
        </w:tc>
        <w:tc>
          <w:tcPr>
            <w:tcW w:w="1095" w:type="pct"/>
            <w:vAlign w:val="center"/>
          </w:tcPr>
          <w:p w14:paraId="2971755B">
            <w:pPr>
              <w:jc w:val="both"/>
              <w:rPr>
                <w:rFonts w:hint="eastAsia" w:ascii="宋体" w:hAnsi="宋体" w:eastAsia="宋体" w:cs="宋体"/>
                <w:sz w:val="21"/>
                <w:szCs w:val="21"/>
                <w:vertAlign w:val="baseline"/>
                <w:lang w:val="en-US" w:eastAsia="zh-CN"/>
              </w:rPr>
            </w:pPr>
          </w:p>
        </w:tc>
      </w:tr>
      <w:tr w14:paraId="142F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318" w:type="pct"/>
            <w:vAlign w:val="center"/>
          </w:tcPr>
          <w:p w14:paraId="5C51381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656" w:type="pct"/>
            <w:vAlign w:val="center"/>
          </w:tcPr>
          <w:p w14:paraId="5745DEA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规格要求</w:t>
            </w:r>
          </w:p>
        </w:tc>
        <w:tc>
          <w:tcPr>
            <w:tcW w:w="2208" w:type="pct"/>
            <w:vAlign w:val="center"/>
          </w:tcPr>
          <w:p w14:paraId="3629FE3B">
            <w:pPr>
              <w:jc w:val="both"/>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i w:val="0"/>
                <w:iCs w:val="0"/>
                <w:sz w:val="21"/>
                <w:szCs w:val="21"/>
                <w:lang w:val="en-US" w:eastAsia="zh-CN"/>
              </w:rPr>
              <w:t>尺寸为70cm×90cm，平均厚度不得低于0.1毫米。任何一处的厚度偏差需控制在±0.01毫米范围内。</w:t>
            </w:r>
          </w:p>
        </w:tc>
        <w:tc>
          <w:tcPr>
            <w:tcW w:w="721" w:type="pct"/>
            <w:vAlign w:val="center"/>
          </w:tcPr>
          <w:p w14:paraId="003AF473">
            <w:pPr>
              <w:jc w:val="both"/>
              <w:rPr>
                <w:rFonts w:hint="eastAsia" w:ascii="宋体" w:hAnsi="宋体" w:eastAsia="宋体" w:cs="宋体"/>
                <w:sz w:val="21"/>
                <w:szCs w:val="21"/>
                <w:vertAlign w:val="baseline"/>
              </w:rPr>
            </w:pPr>
          </w:p>
        </w:tc>
        <w:tc>
          <w:tcPr>
            <w:tcW w:w="1095" w:type="pct"/>
            <w:vAlign w:val="center"/>
          </w:tcPr>
          <w:p w14:paraId="331C234A">
            <w:pPr>
              <w:jc w:val="both"/>
              <w:rPr>
                <w:rFonts w:hint="eastAsia" w:ascii="宋体" w:hAnsi="宋体" w:eastAsia="宋体" w:cs="宋体"/>
                <w:sz w:val="21"/>
                <w:szCs w:val="21"/>
                <w:vertAlign w:val="baseline"/>
              </w:rPr>
            </w:pPr>
          </w:p>
        </w:tc>
      </w:tr>
      <w:tr w14:paraId="3E57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318" w:type="pct"/>
            <w:shd w:val="clear" w:color="auto" w:fill="auto"/>
            <w:vAlign w:val="center"/>
          </w:tcPr>
          <w:p w14:paraId="6051E80E">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w:t>
            </w:r>
          </w:p>
        </w:tc>
        <w:tc>
          <w:tcPr>
            <w:tcW w:w="656" w:type="pct"/>
            <w:shd w:val="clear" w:color="auto" w:fill="auto"/>
            <w:vAlign w:val="center"/>
          </w:tcPr>
          <w:p w14:paraId="3E64D36A">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颜色要求</w:t>
            </w:r>
          </w:p>
        </w:tc>
        <w:tc>
          <w:tcPr>
            <w:tcW w:w="2208" w:type="pct"/>
            <w:shd w:val="clear" w:color="auto" w:fill="auto"/>
            <w:vAlign w:val="center"/>
          </w:tcPr>
          <w:p w14:paraId="77D1D29E">
            <w:pPr>
              <w:jc w:val="both"/>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i w:val="0"/>
                <w:iCs w:val="0"/>
                <w:sz w:val="21"/>
                <w:szCs w:val="21"/>
                <w:lang w:val="en-US" w:eastAsia="zh-CN"/>
              </w:rPr>
              <w:t>纯白色，表面平整、无污渍、无破损、无明显杂质。</w:t>
            </w:r>
          </w:p>
        </w:tc>
        <w:tc>
          <w:tcPr>
            <w:tcW w:w="721" w:type="pct"/>
            <w:shd w:val="clear" w:color="auto" w:fill="auto"/>
            <w:vAlign w:val="center"/>
          </w:tcPr>
          <w:p w14:paraId="111FF212">
            <w:pPr>
              <w:jc w:val="both"/>
              <w:rPr>
                <w:rFonts w:hint="eastAsia" w:ascii="宋体" w:hAnsi="宋体" w:eastAsia="宋体" w:cs="宋体"/>
                <w:kern w:val="2"/>
                <w:sz w:val="21"/>
                <w:szCs w:val="21"/>
                <w:vertAlign w:val="baseline"/>
                <w:lang w:val="en-US" w:eastAsia="zh-CN" w:bidi="ar-SA"/>
              </w:rPr>
            </w:pPr>
          </w:p>
        </w:tc>
        <w:tc>
          <w:tcPr>
            <w:tcW w:w="1095" w:type="pct"/>
            <w:shd w:val="clear" w:color="auto" w:fill="auto"/>
            <w:vAlign w:val="center"/>
          </w:tcPr>
          <w:p w14:paraId="15E18BB4">
            <w:pPr>
              <w:jc w:val="both"/>
              <w:rPr>
                <w:rFonts w:hint="eastAsia" w:ascii="宋体" w:hAnsi="宋体" w:eastAsia="宋体" w:cs="宋体"/>
                <w:kern w:val="2"/>
                <w:sz w:val="21"/>
                <w:szCs w:val="21"/>
                <w:vertAlign w:val="baseline"/>
                <w:lang w:val="en-US" w:eastAsia="zh-CN" w:bidi="ar-SA"/>
              </w:rPr>
            </w:pPr>
          </w:p>
        </w:tc>
      </w:tr>
      <w:tr w14:paraId="1FB8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318" w:type="pct"/>
            <w:shd w:val="clear" w:color="auto" w:fill="auto"/>
            <w:vAlign w:val="center"/>
          </w:tcPr>
          <w:p w14:paraId="1ED2F56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656" w:type="pct"/>
            <w:shd w:val="clear" w:color="auto" w:fill="auto"/>
            <w:vAlign w:val="center"/>
          </w:tcPr>
          <w:p w14:paraId="03481722">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质量要求</w:t>
            </w:r>
          </w:p>
        </w:tc>
        <w:tc>
          <w:tcPr>
            <w:tcW w:w="2208" w:type="pct"/>
            <w:shd w:val="clear" w:color="auto" w:fill="auto"/>
            <w:vAlign w:val="center"/>
          </w:tcPr>
          <w:p w14:paraId="4291C4D3">
            <w:pPr>
              <w:jc w:val="both"/>
              <w:rPr>
                <w:rFonts w:hint="eastAsia" w:asciiTheme="minorEastAsia" w:hAnsiTheme="minorEastAsia" w:eastAsiaTheme="minorEastAsia" w:cstheme="minorEastAsia"/>
                <w:i w:val="0"/>
                <w:iCs w:val="0"/>
                <w:sz w:val="21"/>
                <w:szCs w:val="21"/>
                <w:lang w:val="en-US" w:eastAsia="zh-CN"/>
              </w:rPr>
            </w:pPr>
            <w:r>
              <w:rPr>
                <w:rFonts w:hint="eastAsia" w:asciiTheme="minorEastAsia" w:hAnsiTheme="minorEastAsia" w:eastAsiaTheme="minorEastAsia" w:cstheme="minorEastAsia"/>
                <w:i w:val="0"/>
                <w:iCs w:val="0"/>
                <w:sz w:val="21"/>
                <w:szCs w:val="21"/>
                <w:lang w:val="en-US" w:eastAsia="zh-CN"/>
              </w:rPr>
              <w:t>符合国家相关质量标准以及民航行业对机舱保洁用品的特殊质量要求，确保在使用过程中不会释放有害化学物质，保障乘客与机组人员的健康安全。该材质需具备良好的化学稳定性，耐受常见的清洁剂、食物残渣等物质的侵蚀，不发生化学反应、变形或破损。</w:t>
            </w:r>
          </w:p>
        </w:tc>
        <w:tc>
          <w:tcPr>
            <w:tcW w:w="721" w:type="pct"/>
            <w:shd w:val="clear" w:color="auto" w:fill="auto"/>
            <w:vAlign w:val="center"/>
          </w:tcPr>
          <w:p w14:paraId="1E52C17D">
            <w:pPr>
              <w:jc w:val="both"/>
              <w:rPr>
                <w:rFonts w:hint="eastAsia" w:ascii="宋体" w:hAnsi="宋体" w:eastAsia="宋体" w:cs="宋体"/>
                <w:kern w:val="2"/>
                <w:sz w:val="21"/>
                <w:szCs w:val="21"/>
                <w:vertAlign w:val="baseline"/>
                <w:lang w:val="en-US" w:eastAsia="zh-CN" w:bidi="ar-SA"/>
              </w:rPr>
            </w:pPr>
          </w:p>
        </w:tc>
        <w:tc>
          <w:tcPr>
            <w:tcW w:w="1095" w:type="pct"/>
            <w:shd w:val="clear" w:color="auto" w:fill="auto"/>
            <w:vAlign w:val="center"/>
          </w:tcPr>
          <w:p w14:paraId="0EDC0986">
            <w:pPr>
              <w:jc w:val="both"/>
              <w:rPr>
                <w:rFonts w:hint="eastAsia" w:ascii="宋体" w:hAnsi="宋体" w:eastAsia="宋体" w:cs="宋体"/>
                <w:sz w:val="21"/>
                <w:szCs w:val="21"/>
                <w:vertAlign w:val="baseline"/>
                <w:lang w:val="en-US" w:eastAsia="zh-CN"/>
              </w:rPr>
            </w:pPr>
          </w:p>
        </w:tc>
      </w:tr>
      <w:tr w14:paraId="7E81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Align w:val="center"/>
          </w:tcPr>
          <w:p w14:paraId="36E5809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656" w:type="pct"/>
            <w:vAlign w:val="center"/>
          </w:tcPr>
          <w:p w14:paraId="6B0648A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卫生要求</w:t>
            </w:r>
          </w:p>
        </w:tc>
        <w:tc>
          <w:tcPr>
            <w:tcW w:w="2208" w:type="pct"/>
            <w:vAlign w:val="center"/>
          </w:tcPr>
          <w:p w14:paraId="60648C28">
            <w:pPr>
              <w:numPr>
                <w:ilvl w:val="0"/>
                <w:numId w:val="0"/>
              </w:num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袋内细菌数应符合相关规定，通常要求不能检出大肠杆菌呈阴性，以确保符合卫生标准，避免污染机舱环境；表面无灰尘、油污、杂志等污染物附着，成品密封包装。</w:t>
            </w:r>
          </w:p>
        </w:tc>
        <w:tc>
          <w:tcPr>
            <w:tcW w:w="721" w:type="pct"/>
            <w:vAlign w:val="center"/>
          </w:tcPr>
          <w:p w14:paraId="139172A2">
            <w:pPr>
              <w:numPr>
                <w:ilvl w:val="0"/>
                <w:numId w:val="0"/>
              </w:numPr>
              <w:jc w:val="both"/>
              <w:rPr>
                <w:rFonts w:hint="eastAsia" w:ascii="宋体" w:hAnsi="宋体" w:eastAsia="宋体" w:cs="宋体"/>
                <w:sz w:val="21"/>
                <w:szCs w:val="21"/>
                <w:vertAlign w:val="baseline"/>
                <w:lang w:val="en-US" w:eastAsia="zh-CN"/>
              </w:rPr>
            </w:pPr>
          </w:p>
        </w:tc>
        <w:tc>
          <w:tcPr>
            <w:tcW w:w="1095" w:type="pct"/>
            <w:vAlign w:val="center"/>
          </w:tcPr>
          <w:p w14:paraId="0B005DE1">
            <w:pPr>
              <w:numPr>
                <w:ilvl w:val="0"/>
                <w:numId w:val="0"/>
              </w:numPr>
              <w:jc w:val="both"/>
              <w:rPr>
                <w:rFonts w:hint="eastAsia" w:ascii="宋体" w:hAnsi="宋体" w:eastAsia="宋体" w:cs="宋体"/>
                <w:sz w:val="21"/>
                <w:szCs w:val="21"/>
                <w:vertAlign w:val="baseline"/>
                <w:lang w:val="en-US" w:eastAsia="zh-CN"/>
              </w:rPr>
            </w:pPr>
          </w:p>
        </w:tc>
      </w:tr>
      <w:tr w14:paraId="2FEE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 w:type="pct"/>
            <w:vAlign w:val="center"/>
          </w:tcPr>
          <w:p w14:paraId="7AAB4AB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656" w:type="pct"/>
            <w:vAlign w:val="center"/>
          </w:tcPr>
          <w:p w14:paraId="1490E46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结算要求</w:t>
            </w:r>
          </w:p>
        </w:tc>
        <w:tc>
          <w:tcPr>
            <w:tcW w:w="2208" w:type="pct"/>
            <w:vAlign w:val="center"/>
          </w:tcPr>
          <w:p w14:paraId="41731FB6">
            <w:pPr>
              <w:numPr>
                <w:ilvl w:val="0"/>
                <w:numId w:val="0"/>
              </w:num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供货数量以采购人实际入库单为结算依据，按合同约定单价，按每季度结算一次。</w:t>
            </w:r>
          </w:p>
        </w:tc>
        <w:tc>
          <w:tcPr>
            <w:tcW w:w="721" w:type="pct"/>
            <w:vAlign w:val="center"/>
          </w:tcPr>
          <w:p w14:paraId="373F8B10">
            <w:pPr>
              <w:numPr>
                <w:ilvl w:val="0"/>
                <w:numId w:val="0"/>
              </w:numPr>
              <w:jc w:val="both"/>
              <w:rPr>
                <w:rFonts w:hint="default" w:ascii="仿宋_GB2312" w:hAnsi="宋体" w:eastAsia="仿宋_GB2312" w:cs="仿宋_GB2312"/>
                <w:i w:val="0"/>
                <w:iCs w:val="0"/>
                <w:color w:val="000000"/>
                <w:kern w:val="2"/>
                <w:sz w:val="24"/>
                <w:szCs w:val="24"/>
                <w:u w:val="none"/>
                <w:lang w:val="en-US" w:eastAsia="zh-CN" w:bidi="ar-SA"/>
              </w:rPr>
            </w:pPr>
          </w:p>
        </w:tc>
        <w:tc>
          <w:tcPr>
            <w:tcW w:w="1095" w:type="pct"/>
            <w:vAlign w:val="center"/>
          </w:tcPr>
          <w:p w14:paraId="78B4C8F1">
            <w:pPr>
              <w:numPr>
                <w:ilvl w:val="0"/>
                <w:numId w:val="0"/>
              </w:numPr>
              <w:jc w:val="both"/>
              <w:rPr>
                <w:rFonts w:hint="eastAsia" w:ascii="宋体" w:hAnsi="宋体" w:eastAsia="宋体" w:cs="宋体"/>
                <w:sz w:val="21"/>
                <w:szCs w:val="21"/>
                <w:vertAlign w:val="baseline"/>
                <w:lang w:val="en-US" w:eastAsia="zh-CN"/>
              </w:rPr>
            </w:pPr>
          </w:p>
        </w:tc>
      </w:tr>
      <w:tr w14:paraId="4EFB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 w:type="pct"/>
            <w:vAlign w:val="center"/>
          </w:tcPr>
          <w:p w14:paraId="57E5886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656" w:type="pct"/>
            <w:vAlign w:val="center"/>
          </w:tcPr>
          <w:p w14:paraId="33806FF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项目违约</w:t>
            </w:r>
          </w:p>
        </w:tc>
        <w:tc>
          <w:tcPr>
            <w:tcW w:w="2208" w:type="pct"/>
            <w:vAlign w:val="center"/>
          </w:tcPr>
          <w:p w14:paraId="57B4E063">
            <w:pPr>
              <w:numPr>
                <w:ilvl w:val="0"/>
                <w:numId w:val="0"/>
              </w:num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中选方交付的垃圾袋质量不符合采购人标准的，采购人有权拒收，且中选方应向采购人支付1000元的违约金，并免费更换合格的垃圾袋；若逾期交付，应向采购人偿付逾期交货部分货款总额的万分之五/天的违约金。</w:t>
            </w:r>
          </w:p>
        </w:tc>
        <w:tc>
          <w:tcPr>
            <w:tcW w:w="721" w:type="pct"/>
            <w:vAlign w:val="center"/>
          </w:tcPr>
          <w:p w14:paraId="53B3A601">
            <w:pPr>
              <w:numPr>
                <w:ilvl w:val="0"/>
                <w:numId w:val="0"/>
              </w:numPr>
              <w:jc w:val="both"/>
              <w:rPr>
                <w:rFonts w:hint="eastAsia" w:ascii="宋体" w:hAnsi="宋体" w:eastAsia="宋体" w:cs="宋体"/>
                <w:sz w:val="21"/>
                <w:szCs w:val="21"/>
                <w:vertAlign w:val="baseline"/>
                <w:lang w:val="en-US" w:eastAsia="zh-CN"/>
              </w:rPr>
            </w:pPr>
          </w:p>
        </w:tc>
        <w:tc>
          <w:tcPr>
            <w:tcW w:w="1095" w:type="pct"/>
            <w:vAlign w:val="center"/>
          </w:tcPr>
          <w:p w14:paraId="7C5CFB02">
            <w:pPr>
              <w:numPr>
                <w:ilvl w:val="0"/>
                <w:numId w:val="0"/>
              </w:numPr>
              <w:jc w:val="both"/>
              <w:rPr>
                <w:rFonts w:hint="default" w:ascii="宋体" w:hAnsi="宋体" w:eastAsia="宋体" w:cs="宋体"/>
                <w:sz w:val="21"/>
                <w:szCs w:val="21"/>
                <w:vertAlign w:val="baseline"/>
                <w:lang w:val="en-US" w:eastAsia="zh-CN"/>
              </w:rPr>
            </w:pPr>
          </w:p>
        </w:tc>
      </w:tr>
      <w:tr w14:paraId="0D12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 w:type="pct"/>
            <w:vAlign w:val="center"/>
          </w:tcPr>
          <w:p w14:paraId="568BAF0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656" w:type="pct"/>
            <w:vAlign w:val="center"/>
          </w:tcPr>
          <w:p w14:paraId="76C704D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开票要求</w:t>
            </w:r>
          </w:p>
        </w:tc>
        <w:tc>
          <w:tcPr>
            <w:tcW w:w="2208" w:type="pct"/>
            <w:vAlign w:val="center"/>
          </w:tcPr>
          <w:p w14:paraId="0B0A427A">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需提供增值税专用发票</w:t>
            </w:r>
          </w:p>
        </w:tc>
        <w:tc>
          <w:tcPr>
            <w:tcW w:w="721" w:type="pct"/>
            <w:vAlign w:val="center"/>
          </w:tcPr>
          <w:p w14:paraId="304A7897">
            <w:pPr>
              <w:numPr>
                <w:ilvl w:val="0"/>
                <w:numId w:val="0"/>
              </w:numPr>
              <w:jc w:val="both"/>
              <w:rPr>
                <w:rFonts w:hint="eastAsia" w:ascii="宋体" w:hAnsi="宋体" w:eastAsia="宋体" w:cs="宋体"/>
                <w:sz w:val="21"/>
                <w:szCs w:val="21"/>
                <w:vertAlign w:val="baseline"/>
                <w:lang w:val="en-US" w:eastAsia="zh-CN"/>
              </w:rPr>
            </w:pPr>
          </w:p>
        </w:tc>
        <w:tc>
          <w:tcPr>
            <w:tcW w:w="1095" w:type="pct"/>
            <w:vAlign w:val="center"/>
          </w:tcPr>
          <w:p w14:paraId="60732D7F">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税率：</w:t>
            </w:r>
            <w:r>
              <w:rPr>
                <w:rFonts w:hint="eastAsia" w:ascii="仿宋_GB2312" w:hAnsi="宋体" w:eastAsia="仿宋_GB2312" w:cs="仿宋_GB2312"/>
                <w:i w:val="0"/>
                <w:iCs w:val="0"/>
                <w:color w:val="000000"/>
                <w:kern w:val="2"/>
                <w:sz w:val="24"/>
                <w:szCs w:val="24"/>
                <w:u w:val="none"/>
                <w:lang w:val="en-US" w:eastAsia="zh-CN" w:bidi="ar-SA"/>
              </w:rPr>
              <w:t>[ ]%</w:t>
            </w:r>
          </w:p>
        </w:tc>
      </w:tr>
    </w:tbl>
    <w:p w14:paraId="53CF6118">
      <w:pPr>
        <w:spacing w:line="360" w:lineRule="auto"/>
        <w:jc w:val="left"/>
        <w:rPr>
          <w:rFonts w:hint="default" w:ascii="宋体" w:hAnsi="宋体" w:eastAsiaTheme="minorEastAsia"/>
          <w:color w:val="auto"/>
          <w:sz w:val="22"/>
          <w:szCs w:val="22"/>
          <w:highlight w:val="none"/>
          <w:lang w:val="en-US" w:eastAsia="zh-CN"/>
        </w:rPr>
      </w:pPr>
      <w:r>
        <w:rPr>
          <w:rFonts w:hint="eastAsia" w:ascii="宋体" w:hAnsi="宋体"/>
          <w:color w:val="auto"/>
          <w:sz w:val="22"/>
          <w:szCs w:val="22"/>
          <w:highlight w:val="none"/>
          <w:lang w:val="en-US" w:eastAsia="zh-CN"/>
        </w:rPr>
        <w:t>注：以上要求不允许负偏离，若出现一处负偏离，视为符合性审查不通过。</w:t>
      </w:r>
    </w:p>
    <w:p w14:paraId="66B9E2F3">
      <w:pPr>
        <w:spacing w:line="360" w:lineRule="auto"/>
        <w:rPr>
          <w:rFonts w:hint="eastAsia" w:asciiTheme="minorEastAsia" w:hAnsiTheme="minorEastAsia" w:eastAsiaTheme="minorEastAsia" w:cstheme="minorEastAsia"/>
          <w:sz w:val="24"/>
          <w:szCs w:val="32"/>
          <w:lang w:val="en-US" w:eastAsia="zh-CN"/>
        </w:rPr>
      </w:pPr>
    </w:p>
    <w:p w14:paraId="5FB62CB7">
      <w:pPr>
        <w:spacing w:line="360" w:lineRule="auto"/>
        <w:ind w:firstLine="3120" w:firstLineChars="13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法定代表人</w:t>
      </w:r>
      <w:r>
        <w:rPr>
          <w:rFonts w:hint="eastAsia" w:asciiTheme="minorEastAsia" w:hAnsiTheme="minorEastAsia" w:eastAsiaTheme="minorEastAsia" w:cstheme="minorEastAsia"/>
          <w:sz w:val="24"/>
          <w:szCs w:val="32"/>
          <w:lang w:val="en-US" w:eastAsia="zh-CN"/>
        </w:rPr>
        <w:t>/单位负责人</w:t>
      </w:r>
      <w:r>
        <w:rPr>
          <w:rFonts w:hint="eastAsia" w:asciiTheme="minorEastAsia" w:hAnsiTheme="minorEastAsia" w:eastAsiaTheme="minorEastAsia" w:cstheme="minorEastAsia"/>
          <w:sz w:val="24"/>
          <w:szCs w:val="32"/>
        </w:rPr>
        <w:t>或授权委托人：（签字）</w:t>
      </w:r>
    </w:p>
    <w:p w14:paraId="749E957D">
      <w:pPr>
        <w:spacing w:line="360" w:lineRule="auto"/>
        <w:ind w:firstLine="5040" w:firstLineChars="21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报价人（单位公章）：</w:t>
      </w:r>
    </w:p>
    <w:p w14:paraId="1E688A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D51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2025-08-19T06:39:49Z</dcterms:created>
  <dc:creator>Administrator</dc:creator>
  <cp:lastModifiedBy>✨eileen丹✨</cp:lastModifiedBy>
  <dcterms:modified xsi:type="dcterms:W3CDTF">2025-08-19T06:39:54Z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eyJoZGlkIjoiYzczYTY0OGFkYzRiN2JkNTY1Y2RmMWRhYzUyYmU0OGUiLCJ1c2VySWQiOiI0MTQ3MDE5NTQifQ==</vt:lpwstr>
  </property>
  <property fmtid="{D5CDD505-2E9C-101B-9397-08002B2CF9AE}" pid="4" name="ICV">
    <vt:lpwstr>14ED947F692F4F8FA8F108B0D0BEB0C3_12</vt:lpwstr>
  </property>
</Properties>
</file>